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ЛЕКЦИЯ 5. КАЧЕСТВЕННАЯ ОЦЕНКА И РАНЖИРОВАНИЕ РИСКОВ: МАТРИЦА РИСКОВ (RISK HEAT MAP) И ЭКСПЕРТНЫЕ МЕТОДЫ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Введение: Сущность и задачи качественной оценки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После того как на этапе идентификации сформирован первичный Реестр рисков (Лекция 4), организация сталкивается с практической проблемой: список выявленных угроз может содержать десятки и сотни пунктов. Ресурсы компании (финансовые, человеческие, временные) всегда ограничены, поэтому попытаться нейтрализовать абсолютно все риски одновременно невозможно и экономически нецелесообразно.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Возникает необходимость в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приоритизации и ранжировании рисков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отборе наиболее критических угроз, требующих первоочередного внимания руководства и выделения бюджетов.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Качественная оценка рисков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процесс категоризации и ранжирования идентификационных рисков путем сопоставления двух ключевых параметров: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Вероятности наступления рискового события (</w:t>
      </w:r>
      <m:oMath>
        <m:r>
          <w:rPr>
            <w:rFonts w:ascii="Arial" w:cs="Arial" w:eastAsia="Arial" w:hAnsi="Arial"/>
            <w:b w:val="1"/>
            <w:bCs w:val="1"/>
            <w:color w:val="1f1f1f"/>
          </w:rPr>
          <m:t xml:space="preserve">P</m:t>
        </m:r>
      </m:oMath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 — Probability / Likelihood).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Силы воздействия или тяжести последствий (</w:t>
      </w:r>
      <m:oMath>
        <m:r>
          <w:rPr>
            <w:rFonts w:ascii="Arial" w:cs="Arial" w:eastAsia="Arial" w:hAnsi="Arial"/>
            <w:b w:val="1"/>
            <w:bCs w:val="1"/>
            <w:color w:val="1f1f1f"/>
          </w:rPr>
          <m:t xml:space="preserve">I</m:t>
        </m:r>
      </m:oMath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 — Impact / Consequence).</w:t>
      </w:r>
    </w:p>
    <w:p w:rsidR="00000000" w:rsidDel="00000000" w:rsidP="00000000" w:rsidRDefault="00000000" w:rsidRPr="00000000" w14:paraId="0000000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Главные задачи качественной оценки: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Быстрое разделение рисков на группы по уровню критичности (высокие, средние, низкие).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Определение рисков, требующих проведения глубокого cuantitativo (количественного) анализа.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Отсеивание несущественных угроз, не оказывающих заметного влияния на цели организации.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Визуализация рискового профиля компании для Совета директоров и топ-менеджмента.</w:t>
      </w:r>
    </w:p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Шкалы оценки вероятности и воздействия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Для проведения качественного анализа компании разрабатывают формализованные шкалы. Они могут быть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порядковыми (качественными)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или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полуколичественными (бальными)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 Главное требование — шкалы должны быть однозначными и понятными для всех экспертов.</w:t>
      </w:r>
    </w:p>
    <w:p w:rsidR="00000000" w:rsidDel="00000000" w:rsidP="00000000" w:rsidRDefault="00000000" w:rsidRPr="00000000" w14:paraId="0000000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2.1. Шкала вероятности наступления события (</w:t>
      </w:r>
      <m:oMath>
        <m:r>
          <w:rPr>
            <w:rFonts w:ascii="Arial" w:cs="Arial" w:eastAsia="Arial" w:hAnsi="Arial"/>
            <w:b w:val="1"/>
            <w:bCs w:val="1"/>
            <w:i w:val="0"/>
            <w:iCs w:val="0"/>
            <w:color w:val="1f1f1f"/>
            <w:sz w:val="28"/>
            <w:szCs w:val="28"/>
          </w:rPr>
          <m:t xml:space="preserve">P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Вероятность определяет шанс реализации риска в течение определенного временного горизонта (например, в течение года или срока реализации проекта).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Балл / Уровень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Наименование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Качественное описание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Количественный ориентир (частота)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1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Редкое (Rare)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Событие может произойти только в исключительных обстоятельствах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Менее 1 раза в 5–10 лет ($&lt; 10\%$)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2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Маловероятное (Unlikely)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Событие может произойти в течение года, но статистически нетипично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1 раз в 2–5 лет ($10\% - 30\%$)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3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Возможные (Possible)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Событие происходит время от времени в нормальной практике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1 раз в 1–2 года ($30\% - 60\%$)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Вероятное (Likely)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Событие с высокой вероятностью произойдет в текущем периоде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1–2 раза в год ($60\% - 85\%$)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Практически неизбежное (Almost Certain)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Событие происходит регулярно или ожидается в ближайшее время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Несколько раз в год ($&gt; 85\%$)</w:t>
            </w:r>
          </w:p>
        </w:tc>
      </w:tr>
    </w:tbl>
    <w:p w:rsidR="00000000" w:rsidDel="00000000" w:rsidP="00000000" w:rsidRDefault="00000000" w:rsidRPr="00000000" w14:paraId="0000002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2.2. Шкала силы воздействия (</w:t>
      </w:r>
      <m:oMath>
        <m:r>
          <w:rPr>
            <w:rFonts w:ascii="Arial" w:cs="Arial" w:eastAsia="Arial" w:hAnsi="Arial"/>
            <w:b w:val="1"/>
            <w:bCs w:val="1"/>
            <w:i w:val="0"/>
            <w:iCs w:val="0"/>
            <w:color w:val="1f1f1f"/>
            <w:sz w:val="28"/>
            <w:szCs w:val="28"/>
          </w:rPr>
          <m:t xml:space="preserve">I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Воздействие показывает степень ущерба для целей организации при условии, что рисковое событие уже реализовалось. Понятие «воздействие» включает в себя не только прямые финансовые потери, но и операционные, репутационные, юридические и экологические последствия.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                                  ИЗМЕРЕНИЯ СИЛЫ ВОЗДЕЙСТВИЯ (IMPACT)</w:t>
        <w:br w:type="textWrapping"/>
        <w:t xml:space="preserve">                                                   |</w:t>
        <w:br w:type="textWrapping"/>
        <w:t xml:space="preserve">         +--------------------+--------------------+--------------------+--------------------+</w:t>
        <w:br w:type="textWrapping"/>
        <w:t xml:space="preserve">         |                    |                    |                    |                    |</w:t>
        <w:br w:type="textWrapping"/>
        <w:t xml:space="preserve">         v                    v                    v                    v                    v</w:t>
        <w:br w:type="textWrapping"/>
        <w:t xml:space="preserve">    Финансовые           Операционные         Репутационные          Комплаенс           Безопасность</w:t>
        <w:br w:type="textWrapping"/>
        <w:t xml:space="preserve">     убытки                задержки              последствия          и штрафы            и персонал</w:t>
        <w:br w:type="textWrapping"/>
        <w:t xml:space="preserve">  • Потеря выручки     • Простой линий      • Упоминания в СМИ   • Санкции ЦБ        • Травматизм</w:t>
        <w:br w:type="textWrapping"/>
        <w:t xml:space="preserve">  • Рост расходов      • Срыв сроков        • Отток клиентов     • Судебные иски     • Вред экологии</w:t>
        <w:br w:type="textWrapping"/>
      </w:r>
    </w:p>
    <w:p w:rsidR="00000000" w:rsidDel="00000000" w:rsidP="00000000" w:rsidRDefault="00000000" w:rsidRPr="00000000" w14:paraId="0000002F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Пример многокритериальной шкалы воздействия:</w:t>
      </w:r>
    </w:p>
    <w:tbl>
      <w:tblPr>
        <w:tblStyle w:val="Table2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Уровень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Описание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Финансовый ущерб (% от бюджета)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Операционный простой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Репутация и СМИ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1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Незначительное (Insignificant)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$&lt; 1\%$ бюджета проекта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m:oMath>
              <m:r>
                <w:rPr>
                  <w:rFonts w:ascii="Arial" w:cs="Arial" w:eastAsia="Arial" w:hAnsi="Arial"/>
                  <w:color w:val="1f1f1f"/>
                </w:rPr>
                <m:t xml:space="preserve">&lt;2</m:t>
              </m:r>
            </m:oMath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 часов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Локальные жалобы, без публикаций в СМИ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2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Малое (Minor)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$1\% - 5\%$ бюджета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От 2 часов до 1 дня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Местные публикации, единичные претензии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3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Среднее (Moderate)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$5\% - 15\%$ бюджета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От 1 до 5 дней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Региональные СМИ, негативный резонанс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Крупное (Major)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$15\% - 30\%$ бюджета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От 1 до 3 недель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Национальные СМИ, потеря крупного клиента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Катастрофическое (Catastrophic)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$&gt; 30\%$ бюджета / Банкротство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Более 3 недель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Международный скандал, отзыв лицензии</w:t>
            </w:r>
          </w:p>
        </w:tc>
      </w:tr>
    </w:tbl>
    <w:p w:rsidR="00000000" w:rsidDel="00000000" w:rsidP="00000000" w:rsidRDefault="00000000" w:rsidRPr="00000000" w14:paraId="0000004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Построение Матрицы рисков (Risk Heat Map)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Матрица рисков (Карта рисков / Heat Map)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графический инструмент, представляющий собой двухмерную сетку, по оси ординат (Y) которой откладывается Вероятность (</w:t>
      </w:r>
      <m:oMath>
        <m:r>
          <w:rPr>
            <w:rFonts w:ascii="Arial" w:cs="Arial" w:eastAsia="Arial" w:hAnsi="Arial"/>
            <w:color w:val="1f1f1f"/>
          </w:rPr>
          <m:t xml:space="preserve">P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), а по оси абсцисс (X) — Сила воздействия (</w:t>
      </w:r>
      <m:oMath>
        <m:r>
          <w:rPr>
            <w:rFonts w:ascii="Arial" w:cs="Arial" w:eastAsia="Arial" w:hAnsi="Arial"/>
            <w:color w:val="1f1f1f"/>
          </w:rPr>
          <m:t xml:space="preserve">I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Уровень риска (Risk Score) в самом простом виде рассчитывается по аддитивной или мультипликативной формуле: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Arial" w:cs="Arial" w:eastAsia="Arial" w:hAnsi="Arial"/>
          <w:color w:val="1f1f1f"/>
        </w:rPr>
      </w:pPr>
      <m:oMath>
        <m:r>
          <w:rPr>
            <w:rFonts w:ascii="Arial" w:cs="Arial" w:eastAsia="Arial" w:hAnsi="Arial"/>
            <w:color w:val="1f1f1f"/>
          </w:rPr>
          <m:t xml:space="preserve">Уровеньриска(RiskScore)=Вероятность(P)</m:t>
        </m:r>
        <m:r>
          <w:rPr>
            <w:rFonts w:ascii="Arial" w:cs="Arial" w:eastAsia="Arial" w:hAnsi="Arial"/>
            <w:color w:val="1f1f1f"/>
          </w:rPr>
          <m:t>×</m:t>
        </m:r>
        <m:r>
          <w:rPr>
            <w:rFonts w:ascii="Arial" w:cs="Arial" w:eastAsia="Arial" w:hAnsi="Arial"/>
            <w:color w:val="1f1f1f"/>
          </w:rPr>
          <m:t xml:space="preserve">Воздействие(I)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b w:val="1"/>
          <w:bCs w:val="1"/>
          <w:i w:val="0"/>
          <w:iCs w:val="0"/>
          <w:color w:val="1f1f1f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Конструкция классической матрицы </w:t>
      </w:r>
      <m:oMath>
        <m:r>
          <w:rPr>
            <w:rFonts w:ascii="Arial" w:cs="Arial" w:eastAsia="Arial" w:hAnsi="Arial"/>
            <w:b w:val="1"/>
            <w:bCs w:val="1"/>
            <w:i w:val="0"/>
            <w:iCs w:val="0"/>
            <w:color w:val="1f1f1f"/>
            <w:sz w:val="28"/>
            <w:szCs w:val="28"/>
          </w:rPr>
          <m:t xml:space="preserve">5</m:t>
        </m:r>
        <m:r>
          <w:rPr>
            <w:rFonts w:ascii="Arial" w:cs="Arial" w:eastAsia="Arial" w:hAnsi="Arial"/>
            <w:b w:val="1"/>
            <w:bCs w:val="1"/>
            <w:i w:val="0"/>
            <w:iCs w:val="0"/>
            <w:color w:val="1f1f1f"/>
            <w:sz w:val="28"/>
            <w:szCs w:val="28"/>
          </w:rPr>
          <m:t>×</m:t>
        </m:r>
        <m:r>
          <w:rPr>
            <w:rFonts w:ascii="Arial" w:cs="Arial" w:eastAsia="Arial" w:hAnsi="Arial"/>
            <w:b w:val="1"/>
            <w:bCs w:val="1"/>
            <w:i w:val="0"/>
            <w:iCs w:val="0"/>
            <w:color w:val="1f1f1f"/>
            <w:sz w:val="28"/>
            <w:szCs w:val="28"/>
          </w:rPr>
          <m:t xml:space="preserve">5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b w:val="1"/>
          <w:bCs w:val="1"/>
          <w:i w:val="0"/>
          <w:iCs w:val="0"/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b w:val="1"/>
          <w:bCs w:val="1"/>
          <w:i w:val="0"/>
          <w:iCs w:val="0"/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b w:val="1"/>
          <w:bCs w:val="1"/>
          <w:i w:val="0"/>
          <w:iCs w:val="0"/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 ВЕРОЯТНОСТЬ (P)</w:t>
        <w:br w:type="textWrapping"/>
        <w:t xml:space="preserve">      ^</w:t>
        <w:br w:type="textWrapping"/>
        <w:t xml:space="preserve">  5   |  [5] Желтый    [10] Оранжевый  [15] Красный    [20] Красный    [25] Красный</w:t>
        <w:br w:type="textWrapping"/>
        <w:t xml:space="preserve">      |</w:t>
        <w:br w:type="textWrapping"/>
        <w:t xml:space="preserve">  4   |  [4] Зеленый   [8] Желтый      [12] Оранжевый  [16] Красный    [20] Красный</w:t>
        <w:br w:type="textWrapping"/>
        <w:t xml:space="preserve">      |</w:t>
        <w:br w:type="textWrapping"/>
        <w:t xml:space="preserve">  3   |  [3] Зеленый   [6] Желтый      [9] Оранжевый   [12] Оранжевый  [15] Красный</w:t>
        <w:br w:type="textWrapping"/>
        <w:t xml:space="preserve">      |</w:t>
        <w:br w:type="textWrapping"/>
        <w:t xml:space="preserve">  2   |  [2] Зеленый   [4] Зеленый     [6] Желтый      [8] Желтый      [10] Оранжевый</w:t>
        <w:br w:type="textWrapping"/>
        <w:t xml:space="preserve">      |</w:t>
        <w:br w:type="textWrapping"/>
        <w:t xml:space="preserve">  1   |  [1] Зеленый   [2] Зеленый     [3] Зеленый     [4] Зеленый     [5] Желтый</w:t>
        <w:br w:type="textWrapping"/>
        <w:t xml:space="preserve">      +---------------------------------------------------------------------------&gt;</w:t>
        <w:br w:type="textWrapping"/>
        <w:t xml:space="preserve">             1               2               3               4               5       ВОЗДЕЙСТВИЕ (I)</w:t>
        <w:br w:type="textWrapping"/>
        <w:t xml:space="preserve">      (Незначительное)    (Малое)        (Среднее)       (Крупное)    (Катастрофич.)</w:t>
        <w:br w:type="textWrapping"/>
      </w:r>
    </w:p>
    <w:p w:rsidR="00000000" w:rsidDel="00000000" w:rsidP="00000000" w:rsidRDefault="00000000" w:rsidRPr="00000000" w14:paraId="0000005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Зонирование Карты рисков и стратегии управления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Матрица разделяется на светофорные зоны критичности (Red / Amber / Green — RAG):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Красная зона (Высокий / Критический риск, Risk Score 15–25):</w:t>
      </w:r>
    </w:p>
    <w:p w:rsidR="00000000" w:rsidDel="00000000" w:rsidP="00000000" w:rsidRDefault="00000000" w:rsidRPr="00000000" w14:paraId="0000005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Характеристика: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Неприемлемые риски. Требуют немедленного вмешательства высшего руководства.</w:t>
      </w:r>
    </w:p>
    <w:p w:rsidR="00000000" w:rsidDel="00000000" w:rsidP="00000000" w:rsidRDefault="00000000" w:rsidRPr="00000000" w14:paraId="0000005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Действие: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Разработка экстренных мероприятий по снижению, избежание риска или выделение индивидуального бюджета под мероприятия защиты.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Желтая / Оранжевая зона (Умеренный / Средний риск, Risk Score 5–12):</w:t>
      </w:r>
    </w:p>
    <w:p w:rsidR="00000000" w:rsidDel="00000000" w:rsidP="00000000" w:rsidRDefault="00000000" w:rsidRPr="00000000" w14:paraId="00000060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Характеристика: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Допустимые риски под контролем.</w:t>
      </w:r>
    </w:p>
    <w:p w:rsidR="00000000" w:rsidDel="00000000" w:rsidP="00000000" w:rsidRDefault="00000000" w:rsidRPr="00000000" w14:paraId="00000061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Действие: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Назначение владельца риска, регулярный мониторинг KRI, проведение мероприятий по минимизации при наличии ресурсов.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Зеленая зона (Низкий / Незначительный риск, Risk Score 1–4):</w:t>
      </w:r>
    </w:p>
    <w:p w:rsidR="00000000" w:rsidDel="00000000" w:rsidP="00000000" w:rsidRDefault="00000000" w:rsidRPr="00000000" w14:paraId="00000063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Характеристика: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Приемлемые (фоновые) риски.</w:t>
      </w:r>
    </w:p>
    <w:p w:rsidR="00000000" w:rsidDel="00000000" w:rsidP="00000000" w:rsidRDefault="00000000" w:rsidRPr="00000000" w14:paraId="00000064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Действие: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Принятие риска без выделения специальных ресурсов. Периодический мониторинг в рамках плановых аудитов.</w:t>
      </w:r>
    </w:p>
    <w:p w:rsidR="00000000" w:rsidDel="00000000" w:rsidP="00000000" w:rsidRDefault="00000000" w:rsidRPr="00000000" w14:paraId="0000006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Качественные методы экспертной оценки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Определение значений </w:t>
      </w:r>
      <m:oMath>
        <m:r>
          <w:rPr>
            <w:rFonts w:ascii="Arial" w:cs="Arial" w:eastAsia="Arial" w:hAnsi="Arial"/>
            <w:color w:val="1f1f1f"/>
          </w:rPr>
          <m:t xml:space="preserve">P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 </w:t>
      </w:r>
      <m:oMath>
        <m:r>
          <w:rPr>
            <w:rFonts w:ascii="Arial" w:cs="Arial" w:eastAsia="Arial" w:hAnsi="Arial"/>
            <w:color w:val="1f1f1f"/>
          </w:rPr>
          <m:t xml:space="preserve">I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часто опирается на субъективное мнение специалистов. Для снижения субъективизма используются формализованные экспертные методы.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                               МЕТОДЫ ЭКСПЕРТНОЙ ОЦЕНКИ РИСКОВ</w:t>
        <w:br w:type="textWrapping"/>
        <w:t xml:space="preserve">                                              |</w:t>
        <w:br w:type="textWrapping"/>
        <w:t xml:space="preserve">         +------------------------------------+------------------------------------+</w:t>
        <w:br w:type="textWrapping"/>
        <w:t xml:space="preserve">         |                                    |                                    |</w:t>
        <w:br w:type="textWrapping"/>
        <w:t xml:space="preserve">         v                                    v                                    v</w:t>
        <w:br w:type="textWrapping"/>
        <w:t xml:space="preserve">   Метод Сводных             Оценка по методу FMEA                 Метод Парето</w:t>
        <w:br w:type="textWrapping"/>
        <w:t xml:space="preserve">     Карточек                (Failure Mode &amp; Effects)             (Правило 80/20)</w:t>
        <w:br w:type="textWrapping"/>
        <w:t xml:space="preserve">  • Заполнение анкет         • Расчет RPN = P x I x D             • Ранжирование по вкладу</w:t>
        <w:br w:type="textWrapping"/>
        <w:t xml:space="preserve">  • Выведение средних        • Учет фактора "Обнаруживаемость"      в общий объем ущерба</w:t>
        <w:br w:type="textWrapping"/>
      </w:r>
    </w:p>
    <w:p w:rsidR="00000000" w:rsidDel="00000000" w:rsidP="00000000" w:rsidRDefault="00000000" w:rsidRPr="00000000" w14:paraId="0000006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4.1. Метод FMEA (Failure Mode and Effects Analysis)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FMEA-анализ (анализ видов и последствий отказов) расширяет классическую двухфакторную матрицу, добавляя третий параметр —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Обнаруживаемость (</w:t>
      </w:r>
      <m:oMath>
        <m:r>
          <w:rPr>
            <w:rFonts w:ascii="Arial" w:cs="Arial" w:eastAsia="Arial" w:hAnsi="Arial"/>
            <w:b w:val="1"/>
            <w:bCs w:val="1"/>
            <w:color w:val="1f1f1f"/>
          </w:rPr>
          <m:t xml:space="preserve">D</m:t>
        </m:r>
      </m:oMath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 — Detectability)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Обнаруживаемость (</w:t>
      </w:r>
      <m:oMath>
        <m:r>
          <w:rPr>
            <w:rFonts w:ascii="Arial" w:cs="Arial" w:eastAsia="Arial" w:hAnsi="Arial"/>
            <w:b w:val="1"/>
            <w:bCs w:val="1"/>
            <w:color w:val="1f1f1f"/>
          </w:rPr>
          <m:t xml:space="preserve">D</m:t>
        </m:r>
      </m:oMath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Вероятность того, что возникающий дефект или сбой будет замечен системами контроля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до того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как он причинит вред последнему потребителю (1 — легко обнаружить, 10 — обнаружить невозможно).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Рассчитывается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Приоритетное число риска (RPN — Risk Priority Number)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Arial" w:cs="Arial" w:eastAsia="Arial" w:hAnsi="Arial"/>
          <w:color w:val="1f1f1f"/>
        </w:rPr>
      </w:pPr>
      <m:oMath>
        <m:r>
          <w:rPr>
            <w:rFonts w:ascii="Arial" w:cs="Arial" w:eastAsia="Arial" w:hAnsi="Arial"/>
            <w:color w:val="1f1f1f"/>
          </w:rPr>
          <m:t xml:space="preserve">RPN=P</m:t>
        </m:r>
        <m:r>
          <w:rPr>
            <w:rFonts w:ascii="Arial" w:cs="Arial" w:eastAsia="Arial" w:hAnsi="Arial"/>
            <w:color w:val="1f1f1f"/>
          </w:rPr>
          <m:t>×</m:t>
        </m:r>
        <m:r>
          <w:rPr>
            <w:rFonts w:ascii="Arial" w:cs="Arial" w:eastAsia="Arial" w:hAnsi="Arial"/>
            <w:color w:val="1f1f1f"/>
          </w:rPr>
          <m:t xml:space="preserve">I</m:t>
        </m:r>
        <m:r>
          <w:rPr>
            <w:rFonts w:ascii="Arial" w:cs="Arial" w:eastAsia="Arial" w:hAnsi="Arial"/>
            <w:color w:val="1f1f1f"/>
          </w:rPr>
          <m:t>×</m:t>
        </m:r>
        <m:r>
          <w:rPr>
            <w:rFonts w:ascii="Arial" w:cs="Arial" w:eastAsia="Arial" w:hAnsi="Arial"/>
            <w:color w:val="1f1f1f"/>
          </w:rPr>
          <m:t xml:space="preserve">D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Чем выше индекс RPN, тем приоритетнее задача по доработке системы контроля или процесса.</w:t>
      </w:r>
    </w:p>
    <w:p w:rsidR="00000000" w:rsidDel="00000000" w:rsidP="00000000" w:rsidRDefault="00000000" w:rsidRPr="00000000" w14:paraId="0000007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4.2. Анализ Парето при ранжировании рисков</w:t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Согласно правилу Парето,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20% ключевых рисков генерируют 80% всех потенциальных убытков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организации.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Применение анализа Парето позволяет построить столбчатую диаграмму ранжирования рисков по величине возможного ущерба и сконцентрировать ограниченный ресурс компании на решении «критического большинства» проблем.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Накопленный ущерб (%)</w:t>
        <w:br w:type="textWrapping"/>
        <w:t xml:space="preserve">  100% |                                               _____________------- (Cumulative Impact)</w:t>
        <w:br w:type="textWrapping"/>
        <w:t xml:space="preserve">   80% |-------------------------------------/-------'</w:t>
        <w:br w:type="textWrapping"/>
        <w:t xml:space="preserve">       |                                    / |</w:t>
        <w:br w:type="textWrapping"/>
        <w:t xml:space="preserve">       |                        ___________/  |</w:t>
        <w:br w:type="textWrapping"/>
        <w:t xml:space="preserve">       |                       |           |  |</w:t>
        <w:br w:type="textWrapping"/>
        <w:t xml:space="preserve">       |           ___________ |           |  |           ___________</w:t>
        <w:br w:type="textWrapping"/>
        <w:t xml:space="preserve">       |  ________|           ||           |  | _________|           |</w:t>
        <w:br w:type="textWrapping"/>
        <w:t xml:space="preserve">    0% +--+-------+-----------++-----------+--+-+----------+-----------+----&gt; Риски</w:t>
        <w:br w:type="textWrapping"/>
        <w:t xml:space="preserve">            Risk A      Risk B       Risk C       Risk D       Risk E</w:t>
        <w:br w:type="textWrapping"/>
        <w:t xml:space="preserve">          [========== 80% Ущерба ==========] [==== 20% Остаточный ущерб ====]</w:t>
        <w:br w:type="textWrapping"/>
      </w:r>
    </w:p>
    <w:p w:rsidR="00000000" w:rsidDel="00000000" w:rsidP="00000000" w:rsidRDefault="00000000" w:rsidRPr="00000000" w14:paraId="0000007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 Ограничения и типичные ошибки качественной оценки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Несмотря на простоту и наглядность, качественный анализ имеет ряд серьезных методологических ограничений:</w:t>
      </w:r>
    </w:p>
    <w:p w:rsidR="00000000" w:rsidDel="00000000" w:rsidP="00000000" w:rsidRDefault="00000000" w:rsidRPr="00000000" w14:paraId="0000007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Эффект галлюцинации и субъективизма: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Оценки двух разных экспертов могут кардинально отличаться в зависимости от их личного опыта, оптимизма или склонности к риску.</w:t>
      </w:r>
    </w:p>
    <w:p w:rsidR="00000000" w:rsidDel="00000000" w:rsidP="00000000" w:rsidRDefault="00000000" w:rsidRPr="00000000" w14:paraId="0000007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Проблема сжатия данных (Compression Error):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Шкала из 5 баллов сглаживает различия. Ущерб в $100 тыс. и $5 млн в грубой матрице могут попасть в одну категорию «Крупный ущерб».</w:t>
      </w:r>
    </w:p>
    <w:p w:rsidR="00000000" w:rsidDel="00000000" w:rsidP="00000000" w:rsidRDefault="00000000" w:rsidRPr="00000000" w14:paraId="0000007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Парадокс одинакового балла: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Риск с </w:t>
      </w:r>
      <m:oMath>
        <m:r>
          <w:rPr>
            <w:rFonts w:ascii="Arial" w:cs="Arial" w:eastAsia="Arial" w:hAnsi="Arial"/>
            <w:color w:val="1f1f1f"/>
          </w:rPr>
          <m:t xml:space="preserve">P=1,I=5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</w:t>
      </w:r>
      <m:oMath>
        <m:r>
          <w:rPr>
            <w:rFonts w:ascii="Arial" w:cs="Arial" w:eastAsia="Arial" w:hAnsi="Arial"/>
            <w:color w:val="1f1f1f"/>
          </w:rPr>
          <m:t xml:space="preserve">Score=5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и риск с </w:t>
      </w:r>
      <m:oMath>
        <m:r>
          <w:rPr>
            <w:rFonts w:ascii="Arial" w:cs="Arial" w:eastAsia="Arial" w:hAnsi="Arial"/>
            <w:color w:val="1f1f1f"/>
          </w:rPr>
          <m:t xml:space="preserve">P=5,I=1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</w:t>
      </w:r>
      <m:oMath>
        <m:r>
          <w:rPr>
            <w:rFonts w:ascii="Arial" w:cs="Arial" w:eastAsia="Arial" w:hAnsi="Arial"/>
            <w:color w:val="1f1f1f"/>
          </w:rPr>
          <m:t xml:space="preserve">Score=5</m:t>
        </m:r>
      </m:oMath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получают одинаковый приоритет, хотя требуют кардинально разного реагирования (страхование катастрофы vs. операционный контроль мелких сбоев).</w:t>
      </w:r>
    </w:p>
    <w:p w:rsidR="00000000" w:rsidDel="00000000" w:rsidP="00000000" w:rsidRDefault="00000000" w:rsidRPr="00000000" w14:paraId="00000080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Игнорирование взаимозависимостей: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Качественная матрица рассматривает каждый риск изолированно, не учитывая каскадные эффекты.</w:t>
      </w:r>
    </w:p>
    <w:p w:rsidR="00000000" w:rsidDel="00000000" w:rsidP="00000000" w:rsidRDefault="00000000" w:rsidRPr="00000000" w14:paraId="0000008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6. Заключение</w:t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Качественная оценка рисков и построение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Матрицы рисков (Risk Heat Map)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представляют собой незаменимый первичный фильтр в корпоративном риск-менеджменте. Она позволяет сформировать наглядный профиль рисков, разграничить зоны ответственности и оперативно отделить критические угрозы от фонового шума.</w:t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Однако для принятия сложных финансовых решений, формирования страховых бюджетов и оценки крупномасштабных инвестиционных проектов одной качественной оценки недостаточно. Риски, попавшие в красную и оранжевую зоны матрицы, отправляются на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Количественный анализ рисков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математические и статистические инструменты которого мы изучим на Лекции 6.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